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93" w:rsidRPr="00EA7093" w:rsidRDefault="00EA7093" w:rsidP="00EA7093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A7093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Словарь ГИА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А</w:t>
      </w:r>
    </w:p>
    <w:p w:rsidR="00EA7093" w:rsidRPr="00EA7093" w:rsidRDefault="00EA7093" w:rsidP="00EA709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6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Апелляция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Апелляция — это процедура, призванная защитить интересы участника экзамена в случае </w:t>
      </w:r>
      <w:proofErr w:type="gramStart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выявления нарушений процедуры проведения экзамена</w:t>
      </w:r>
      <w:proofErr w:type="gram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несогласия с результатами экзамена, основанной на предположении о наличии технических или экспертных ошибок при оценивании работы экзаменуемого. Подробнее о правилах подачи апелляций читайте в разделе </w:t>
      </w:r>
      <w:hyperlink r:id="rId7" w:history="1">
        <w:r w:rsidRPr="00D8361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АПЕЛЛЯЦИЯ</w:t>
        </w:r>
      </w:hyperlink>
    </w:p>
    <w:bookmarkEnd w:id="0"/>
    <w:p w:rsidR="00EA7093" w:rsidRPr="00EA7093" w:rsidRDefault="00EA7093" w:rsidP="00EA7093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begin"/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instrText xml:space="preserve"> HYPERLINK "javascript://" </w:instrTex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separate"/>
      </w:r>
      <w:r w:rsidRPr="00EA7093">
        <w:rPr>
          <w:rFonts w:ascii="Verdana" w:eastAsia="Times New Roman" w:hAnsi="Verdana" w:cs="Times New Roman"/>
          <w:b/>
          <w:bCs/>
          <w:caps/>
          <w:color w:val="FFFFFF"/>
          <w:sz w:val="18"/>
          <w:szCs w:val="18"/>
          <w:u w:val="single"/>
          <w:shd w:val="clear" w:color="auto" w:fill="FF8E00"/>
          <w:lang w:eastAsia="ru-RU"/>
        </w:rPr>
        <w:t>Аттестат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fldChar w:fldCharType="end"/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 государственного образца о соответствующем уровне общего образования. Выпускникам 9 класса выдается аттестат об основном общем образовании, выпускникам XI (XII) классов — аттестат о среднем (полном) общем образовании.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 аттестат об основном общем образовании выставляются итоговые отметки по предметам, которые изучались выпускником в классах второй ступени общего образования.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Выпускникам 9 класса, имеющим годовые, экзаменационные и итоговые отметки «5», выдается аттестат об основном общем образовании особого образца. 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Б</w:t>
      </w:r>
    </w:p>
    <w:p w:rsidR="00EA7093" w:rsidRPr="00EA7093" w:rsidRDefault="00EA7093" w:rsidP="00EA7093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8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Бланки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Стандартные бумажные листы определенного формата, специально разработанные и утвержденные местным органом управления образованием для оформления участниками ГИА выпускников 9 классов в новой форме ответов на экзаменационные задания 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Г</w:t>
      </w:r>
    </w:p>
    <w:p w:rsidR="00EA7093" w:rsidRPr="00EA7093" w:rsidRDefault="00EA7093" w:rsidP="00EA709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ГИА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(итоговая) аттестация представляет собой форму государственного контроля (оценки) освоения выпускниками IX (X) и XI (XII) классов основных общеобразовательных программ основного общего и среднего (полного) общего образования в соответствии с требованиями федерального государственного образовательного стандарта среднего (полного) общего образования</w:t>
      </w: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Государственная (итоговая) аттестация выпускников XI (XII) классов проводится в форме единого государственного экзамена, а также в форме государственного выпускного экзамена.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(итоговая) аттестация выпускников IX (X) классов проводится в форме государственного выпускного экзамена, а также в новой форме организации экзаменов с использованием стандартизированных заданий, выполнение которых позволяет установить уровень освоения федерального государственного стандарта основного общего образования.</w:t>
      </w:r>
    </w:p>
    <w:p w:rsidR="00EA7093" w:rsidRPr="00EA7093" w:rsidRDefault="00EA7093" w:rsidP="00EA709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0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ГИА выпускников 9 классов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(итоговая) аттестация обучающихся, освоивших образовательные программы основного общего образования проводится для выпускников IX (X) классов. С 2004 года в Российской Федерации проводится апробация государственной (итоговой) аттестации (ГИА) выпускников 9-х классов в новой форме. Основным отличием новой формы аттестации от традиционных экзаменов является то, что она носит характер независимой «внешней» оценки качества подготовки выпускников. Она представляет собой новую форму организации выпускных экзаменов с 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 с использованием механизмов независимой оценки знаний. Для ее проведения в субъектах РФ создаются территориальные экзаменационные комиссии.</w:t>
      </w:r>
    </w:p>
    <w:p w:rsidR="00EA7093" w:rsidRPr="00EA7093" w:rsidRDefault="00EA7093" w:rsidP="00EA7093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1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ГИА выпускников 11 классов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Государственная (итоговая) аттестация выпускников XI (XII) классов — это форма государственного контроля (оценки) освоения выпускниками основных общеобразовательных программ среднего (полного) общего образования в соответствии с требованиями федерального государственного образовательного стандарта среднего (полного) общего образования. ГИА выпускников XI (XII) классов проводится в форме ЕГЭ, а также в форме государственного выпускного экзамена. Для нескольких категорий выпускников допускается сочетание обеих форм ГИА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Д</w:t>
      </w:r>
    </w:p>
    <w:p w:rsidR="00EA7093" w:rsidRPr="00EA7093" w:rsidRDefault="00EA7093" w:rsidP="00EA7093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2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Демонстрационные варианты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Демонстрационные варианты 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КИМ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предназначены для тренировки будущих участников экзаменов, дают возможность составить представление о структуре и содержании экзаменационных заданий, их количестве, форме, уровне сложности. Находятся </w:t>
      </w:r>
      <w:hyperlink r:id="rId13" w:history="1">
        <w:r w:rsidRPr="00EA709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в открытом доступе</w:t>
        </w:r>
      </w:hyperlink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. Задания, включенные в демонстрационные варианты, никогда не использовались и не будут использованы на экзаменах, но они аналогичным заданиям экзамена. 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proofErr w:type="gramStart"/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lastRenderedPageBreak/>
        <w:t>З</w:t>
      </w:r>
      <w:proofErr w:type="gramEnd"/>
    </w:p>
    <w:p w:rsidR="00EA7093" w:rsidRPr="00EA7093" w:rsidRDefault="00EA7093" w:rsidP="00EA709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4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Задание типа А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Задания этого типа содержат тестовые задания, в каждом из которых необходимо выбрать верный вариант ответа из нескольких предложенных. Ответы на задания этого типа обрабатываются с помощью специальной компьютерной программы без участия экспертов-предметников. </w:t>
      </w:r>
      <w:proofErr w:type="spellStart"/>
      <w:r w:rsidRPr="00EA7093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КИМы</w:t>
      </w:r>
      <w:proofErr w:type="spell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 некоторым предметам 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u w:val="single"/>
          <w:lang w:eastAsia="ru-RU"/>
        </w:rPr>
        <w:t>ЕГЭ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(литературе и математике) не содержат заданий этого типа.</w:t>
      </w:r>
    </w:p>
    <w:p w:rsidR="00EA7093" w:rsidRPr="00EA7093" w:rsidRDefault="00EA7093" w:rsidP="00EA709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5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 xml:space="preserve">Задание типа </w:t>
        </w:r>
        <w:proofErr w:type="gramStart"/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В</w:t>
        </w:r>
        <w:proofErr w:type="gramEnd"/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Задания этого типа содержат тестовые задания, в каждом из которых необходимо дать краткий ответ, состоящий из одного или нескольких слов, букв или чисел. Ответы на задания этого типа обрабатываются с помощью специальной компьютерной программы без участия экспертов-предметников.</w:t>
      </w:r>
    </w:p>
    <w:p w:rsidR="00EA7093" w:rsidRPr="00EA7093" w:rsidRDefault="00EA7093" w:rsidP="00EA7093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6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 xml:space="preserve">Задание типа </w:t>
        </w:r>
        <w:proofErr w:type="gramStart"/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С</w:t>
        </w:r>
        <w:proofErr w:type="gramEnd"/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Задания этого типа содержат тестовые задания, в каждом из которых необходимо дать ответ в виде одного или нескольких предложений или формул. Проверка правильности ответов на эти задания производится специально подготовленными независимыми экспертами-предметниками с использованием четко определенных критериев оценивания. Результаты оценивания экспертов заносятся в компьютер и обрабатываются.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И</w:t>
      </w:r>
    </w:p>
    <w:p w:rsidR="00EA7093" w:rsidRPr="00EA7093" w:rsidRDefault="00EA7093" w:rsidP="00EA7093">
      <w:pPr>
        <w:numPr>
          <w:ilvl w:val="0"/>
          <w:numId w:val="6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7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Измерение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Формализованный процесс оценивания (см.), который завершается количественной оценкой; в случае педагогического измерения это оценка уровня образовательных достижений.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К</w:t>
      </w:r>
    </w:p>
    <w:p w:rsidR="00EA7093" w:rsidRPr="00EA7093" w:rsidRDefault="00EA7093" w:rsidP="00EA7093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8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КИМ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Контрольные измерительные материалы — экзаменационные материалы различных видов (задания с выбором ответа, с кратким ответом или с развернутым ответом и др.), которые выдаются участникам ГИА на экзамене. КИМ разрабатываются в соответствии с требованиями Федерального компонента государственных стандартов основного общего образования. Разработкой КИМ занимаются специалисты </w:t>
      </w:r>
      <w:hyperlink r:id="rId19" w:tgtFrame="_blank" w:history="1">
        <w:r w:rsidRPr="00EA709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ФБГНУ ФИПИ</w:t>
        </w:r>
      </w:hyperlink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EA7093" w:rsidRPr="00EA7093" w:rsidRDefault="00EA7093" w:rsidP="00EA7093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0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Кодификатор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Кодификатор элементов содержания и требований к уровню подготовки по предмету для составления контрольных измерительных материалов государственной (итоговой) аттестации в новой форме является одним из документов, регламентирующих разработку контрольных измерительных материалов (КИМ) ГИА. Составляется на основе Федерального компонента государственных стандартов основного общего образования. </w:t>
      </w:r>
    </w:p>
    <w:p w:rsidR="00EA7093" w:rsidRPr="00EA7093" w:rsidRDefault="00EA7093" w:rsidP="00EA7093">
      <w:pPr>
        <w:numPr>
          <w:ilvl w:val="0"/>
          <w:numId w:val="7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1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Конфликтная комиссия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Конфликтные комиссии, создаваемые в каждом субъекте РФ, призваны обеспечивать объективность оценивания экзаменационных работ и разрешении спорных вопросов, возникающих при проведении ЕГЭ.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М</w:t>
      </w:r>
    </w:p>
    <w:p w:rsidR="00EA7093" w:rsidRPr="00EA7093" w:rsidRDefault="00EA7093" w:rsidP="00EA7093">
      <w:pPr>
        <w:numPr>
          <w:ilvl w:val="0"/>
          <w:numId w:val="8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2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МОУО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Местный орган управления образованием, то есть орган местного самоуправления, осуществляющий полномочия в сфере образования.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</w:t>
      </w:r>
    </w:p>
    <w:p w:rsidR="00EA7093" w:rsidRPr="00EA7093" w:rsidRDefault="00EA7093" w:rsidP="00EA709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3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Общественные наблюдатели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Лица, привлекаемые для усиления контроля за ходом проведения государственной (итоговой) аттестации </w:t>
      </w:r>
      <w:proofErr w:type="gramStart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освоивших образовательные программы основного общего образования или среднего (полного) общего образования. Деятельность общественных наблюдателей регулируется Приказом </w:t>
      </w:r>
      <w:proofErr w:type="spellStart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Минобрнауки</w:t>
      </w:r>
      <w:proofErr w:type="spell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России от 29 августа 2011 г. N 2235 </w:t>
      </w:r>
      <w:hyperlink r:id="rId24" w:tgtFrame="_blank" w:history="1">
        <w:r w:rsidRPr="00EA709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«Об утверждении Положения о 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образования»</w:t>
        </w:r>
      </w:hyperlink>
    </w:p>
    <w:p w:rsidR="00EA7093" w:rsidRPr="00EA7093" w:rsidRDefault="00EA7093" w:rsidP="00EA709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5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ОВЗ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Участники с ограниченными возможностями здоровья, то есть имеющие недостатки в физическом и (или) психическом развитии: глухие, слабослышащие, слепые, слабовидящие, с тяжелыми нарушениями речи, с нарушениями опорно-двигательного аппарата и другие, в том числе дети-инвалиды. 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участников с ОВЗ экзамены организуются с учетом их особенностей психофизического развития, индивидуальных возможностей и состояния здоровья.</w:t>
      </w:r>
    </w:p>
    <w:p w:rsidR="00EA7093" w:rsidRPr="00EA7093" w:rsidRDefault="00EA7093" w:rsidP="00EA709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6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Организатор ЕГЭ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Лица, привлеченные к организации и проведению ЕГЭ. Как правило, это преподаватели ОУ, в котором проходит экзамен. При назначении организаторов должно быть исключена возможность присутствия на ППЭ в момент проведения экзамена преподавателей-предметников по соответствующему или родственному предмету (математика — физика, история — обществознание). В состав организаторов ППЭ не должны включаться преподаватели тех ОУ, выпускники которых сдают ЕГЭ </w:t>
      </w:r>
      <w:proofErr w:type="gramStart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</w:t>
      </w:r>
      <w:proofErr w:type="gram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данном ППЭ.</w:t>
      </w:r>
    </w:p>
    <w:p w:rsidR="00EA7093" w:rsidRPr="00EA7093" w:rsidRDefault="00EA7093" w:rsidP="00EA709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7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ОУ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Образовательное учреждение</w:t>
      </w:r>
    </w:p>
    <w:p w:rsidR="00EA7093" w:rsidRPr="00EA7093" w:rsidRDefault="00EA7093" w:rsidP="00EA7093">
      <w:pPr>
        <w:numPr>
          <w:ilvl w:val="0"/>
          <w:numId w:val="9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8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ОУО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 управления образованием, то есть уполномоченный орган исполнительной власти субъекта Российской Федерации, осуществляющий управление в сфере образования.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proofErr w:type="gramStart"/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</w:t>
      </w:r>
      <w:proofErr w:type="gramEnd"/>
    </w:p>
    <w:p w:rsidR="00EA7093" w:rsidRPr="00EA7093" w:rsidRDefault="00EA7093" w:rsidP="00EA7093">
      <w:pPr>
        <w:numPr>
          <w:ilvl w:val="0"/>
          <w:numId w:val="10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29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Первичный балл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Первичный балл — это предварительный балл, который получается путем прямого суммирования числа правильных ответов, каждый из которых имеет определенный коэффициент. Каждое выполненное задание оценивается от 1 и более баллов. Первичные баллы переводятся в отметки по пятибалльной шкале. Разработанные специалистами ФИПИ шкалы перевода первичных баллов в отметки по пятибалльной шкале для проведения государственной (итоговой) аттестации выпускников основной школы в новой форме носят рекомендательный характер. 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С</w:t>
      </w:r>
    </w:p>
    <w:p w:rsidR="00EA7093" w:rsidRPr="00EA7093" w:rsidRDefault="00EA7093" w:rsidP="00EA7093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0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Спецификация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Документ, определяющий структуру и содержание КИМ по учебному предмету. Спецификация описывает назначение экзаменационной работы, устанавливает распределение заданий по содержанию, видам деятельности и уровню сложности, утверждает систему оценивания отдельных заданий и работы в целом, обозначает условия проведения и проверки результатов экзамена. На основе плана экзаменационной работы, содержащегося в спецификации, формируются </w:t>
      </w:r>
      <w:proofErr w:type="spellStart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КИМы</w:t>
      </w:r>
      <w:proofErr w:type="spellEnd"/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EA7093" w:rsidRPr="00EA7093" w:rsidRDefault="00EA7093" w:rsidP="00EA7093">
      <w:pPr>
        <w:numPr>
          <w:ilvl w:val="0"/>
          <w:numId w:val="1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1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Справка об обучении в ОУ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Учащиеся 9 классов, не допущенные или не прошедшие ГИА, по усмотрению родителей или законных представителей оставляются на повторное обучение или получают справку об обучении установленного образца. Лицам, получившим справку, через год 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предоставляется право пройти государственную (итоговую) аттестацию в форме экстерната. При этом ранее проходившие ГИА сдают экзамены по тем предметам, по которым в справке выставлены неудовлетворительные отметки.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Т</w:t>
      </w:r>
    </w:p>
    <w:p w:rsidR="00EA7093" w:rsidRPr="00EA7093" w:rsidRDefault="00EA7093" w:rsidP="00EA7093">
      <w:pPr>
        <w:numPr>
          <w:ilvl w:val="0"/>
          <w:numId w:val="1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2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Территориальные экзаменационные комиссии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Территориальные экзаменационные комиссии (ТЭК) создаются в каждом субъекте РФ для организации подготовки и проведения ГИА выпускников 9 классов и </w:t>
      </w: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соблюдения </w:t>
      </w:r>
      <w:proofErr w:type="gramStart"/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прав</w:t>
      </w:r>
      <w:proofErr w:type="gramEnd"/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 xml:space="preserve"> обучающихся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при её проведении. ТЭК создаются органом исполнительной власти субъекта РФ, осуществляющим управление в сфере образования.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 состав ТЭК включаются представители ОУО субъекта РФ, муниципальных районов и городских округов, ОУ начального профессионального и среднего профессионального образования, ОУ, методисты методических служб в соотношении, обеспечивающем представительство всех заинтересованных сторон.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</w:t>
      </w: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обеспечения объективности</w:t>
      </w: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при оценке качества знаний выпускников создаются предметные комиссии ТЭК (подкомиссии) по общеобразовательным предметам, которые осуществляют проверку и оценивание работ учащихся.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 состав предметных комиссий входят педагогические работники ОУ, методисты, преподаватели ОУ начального и среднего профессионального образования по профилю территориальной предметной комиссии на паритетных началах.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Ф</w:t>
      </w:r>
    </w:p>
    <w:p w:rsidR="00EA7093" w:rsidRPr="00EA7093" w:rsidRDefault="00EA7093" w:rsidP="00EA7093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3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ФИПИ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4" w:tgtFrame="_blank" w:history="1">
        <w:r w:rsidRPr="00EA709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Федеральный институт педагогических измерений</w:t>
        </w:r>
      </w:hyperlink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— учреждение, отвечающее за организацию разработки контрольных измерительных материалов ЕГЭ.</w:t>
      </w:r>
    </w:p>
    <w:p w:rsidR="00EA7093" w:rsidRPr="00EA7093" w:rsidRDefault="00EA7093" w:rsidP="00EA7093">
      <w:pPr>
        <w:numPr>
          <w:ilvl w:val="0"/>
          <w:numId w:val="1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5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ФЦТ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6" w:tgtFrame="_blank" w:history="1">
        <w:r w:rsidRPr="00EA7093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Федеральный центр тестирования</w:t>
        </w:r>
      </w:hyperlink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— учреждение, отвечающее за технологическое обеспечение ЕГЭ, а так же обработку результатов ЕГЭ на федеральном уровне.</w:t>
      </w:r>
    </w:p>
    <w:p w:rsidR="00EA7093" w:rsidRPr="00EA7093" w:rsidRDefault="00EA7093" w:rsidP="00EA7093">
      <w:pPr>
        <w:spacing w:after="0" w:line="336" w:lineRule="atLeast"/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Э</w:t>
      </w:r>
    </w:p>
    <w:p w:rsidR="00EA7093" w:rsidRPr="00EA7093" w:rsidRDefault="00EA7093" w:rsidP="00EA7093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7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Экзаменационные комиссии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Создаются общеобразовательными учреждениями для проведения государственной (итоговой) аттестации выпускников IX классов.</w:t>
      </w:r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Местные (муниципальные) органы управления образованием могут создавать экзаменационные комиссии для проведения государственной (итоговой) аттестации выпускников IX классов общеобразовательных учреждений по предметам профильного обучения в классах III ступени общего образования.</w:t>
      </w:r>
    </w:p>
    <w:p w:rsidR="00EA7093" w:rsidRPr="00EA7093" w:rsidRDefault="00EA7093" w:rsidP="00EA7093">
      <w:pPr>
        <w:numPr>
          <w:ilvl w:val="0"/>
          <w:numId w:val="1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38" w:history="1">
        <w:r w:rsidRPr="00EA7093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u w:val="single"/>
            <w:shd w:val="clear" w:color="auto" w:fill="FF8E00"/>
            <w:lang w:eastAsia="ru-RU"/>
          </w:rPr>
          <w:t>Эксперты</w:t>
        </w:r>
      </w:hyperlink>
    </w:p>
    <w:p w:rsidR="00EA7093" w:rsidRPr="00EA7093" w:rsidRDefault="00EA7093" w:rsidP="00EA7093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A7093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Специалисты-преподаватели по определенному предмету, которые привлекаются к обработке и оцениванию заданий с развернутым ответом. </w:t>
      </w:r>
    </w:p>
    <w:p w:rsidR="00106E63" w:rsidRDefault="00106E63"/>
    <w:sectPr w:rsidR="0010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6"/>
    <w:multiLevelType w:val="multilevel"/>
    <w:tmpl w:val="97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93553"/>
    <w:multiLevelType w:val="multilevel"/>
    <w:tmpl w:val="FEF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ADC"/>
    <w:multiLevelType w:val="multilevel"/>
    <w:tmpl w:val="AC6C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622FC"/>
    <w:multiLevelType w:val="multilevel"/>
    <w:tmpl w:val="BEF6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112CE"/>
    <w:multiLevelType w:val="multilevel"/>
    <w:tmpl w:val="482E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A7B22"/>
    <w:multiLevelType w:val="multilevel"/>
    <w:tmpl w:val="38B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E34B2"/>
    <w:multiLevelType w:val="multilevel"/>
    <w:tmpl w:val="C046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15592"/>
    <w:multiLevelType w:val="multilevel"/>
    <w:tmpl w:val="048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61216"/>
    <w:multiLevelType w:val="multilevel"/>
    <w:tmpl w:val="F9E4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63404"/>
    <w:multiLevelType w:val="multilevel"/>
    <w:tmpl w:val="5302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51E09"/>
    <w:multiLevelType w:val="multilevel"/>
    <w:tmpl w:val="F656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21CA1"/>
    <w:multiLevelType w:val="multilevel"/>
    <w:tmpl w:val="264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352BB"/>
    <w:multiLevelType w:val="multilevel"/>
    <w:tmpl w:val="184E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44853"/>
    <w:multiLevelType w:val="multilevel"/>
    <w:tmpl w:val="BA3C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93"/>
    <w:rsid w:val="00106E63"/>
    <w:rsid w:val="00D83613"/>
    <w:rsid w:val="00E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093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93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7093"/>
    <w:rPr>
      <w:color w:val="0071BB"/>
      <w:u w:val="single"/>
    </w:rPr>
  </w:style>
  <w:style w:type="character" w:styleId="a4">
    <w:name w:val="Strong"/>
    <w:basedOn w:val="a0"/>
    <w:uiPriority w:val="22"/>
    <w:qFormat/>
    <w:rsid w:val="00EA7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093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093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A7093"/>
    <w:rPr>
      <w:color w:val="0071BB"/>
      <w:u w:val="single"/>
    </w:rPr>
  </w:style>
  <w:style w:type="character" w:styleId="a4">
    <w:name w:val="Strong"/>
    <w:basedOn w:val="a0"/>
    <w:uiPriority w:val="22"/>
    <w:qFormat/>
    <w:rsid w:val="00EA70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2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8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3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2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83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7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8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1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9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2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8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4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0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6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//" TargetMode="External"/><Relationship Id="rId13" Type="http://schemas.openxmlformats.org/officeDocument/2006/relationships/hyperlink" Target="http://gia.edu.ru/ru/graduates_classes/demonstration/" TargetMode="External"/><Relationship Id="rId18" Type="http://schemas.openxmlformats.org/officeDocument/2006/relationships/hyperlink" Target="javascript://" TargetMode="External"/><Relationship Id="rId26" Type="http://schemas.openxmlformats.org/officeDocument/2006/relationships/hyperlink" Target="javascript:/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javascript://" TargetMode="External"/><Relationship Id="rId34" Type="http://schemas.openxmlformats.org/officeDocument/2006/relationships/hyperlink" Target="http://www.fipi.ru/" TargetMode="External"/><Relationship Id="rId7" Type="http://schemas.openxmlformats.org/officeDocument/2006/relationships/hyperlink" Target="http://gia.edu.ru/ru/graduates_classes/appeal/" TargetMode="External"/><Relationship Id="rId12" Type="http://schemas.openxmlformats.org/officeDocument/2006/relationships/hyperlink" Target="javascript://" TargetMode="External"/><Relationship Id="rId17" Type="http://schemas.openxmlformats.org/officeDocument/2006/relationships/hyperlink" Target="javascript://" TargetMode="External"/><Relationship Id="rId25" Type="http://schemas.openxmlformats.org/officeDocument/2006/relationships/hyperlink" Target="javascript://" TargetMode="External"/><Relationship Id="rId33" Type="http://schemas.openxmlformats.org/officeDocument/2006/relationships/hyperlink" Target="javascript://" TargetMode="External"/><Relationship Id="rId38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hyperlink" Target="javascript://" TargetMode="External"/><Relationship Id="rId29" Type="http://schemas.openxmlformats.org/officeDocument/2006/relationships/hyperlink" Target="javascript:/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24" Type="http://schemas.openxmlformats.org/officeDocument/2006/relationships/hyperlink" Target="http://www.ege.edu.ru/ru/main/legal-documents/index.php?id_4=17851&amp;from_4=2" TargetMode="External"/><Relationship Id="rId32" Type="http://schemas.openxmlformats.org/officeDocument/2006/relationships/hyperlink" Target="javascript://" TargetMode="External"/><Relationship Id="rId37" Type="http://schemas.openxmlformats.org/officeDocument/2006/relationships/hyperlink" Target="javascript:/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//" TargetMode="External"/><Relationship Id="rId23" Type="http://schemas.openxmlformats.org/officeDocument/2006/relationships/hyperlink" Target="javascript://" TargetMode="External"/><Relationship Id="rId28" Type="http://schemas.openxmlformats.org/officeDocument/2006/relationships/hyperlink" Target="javascript://" TargetMode="External"/><Relationship Id="rId36" Type="http://schemas.openxmlformats.org/officeDocument/2006/relationships/hyperlink" Target="http://www.rustest.ru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http://www.fipi.ru/" TargetMode="External"/><Relationship Id="rId31" Type="http://schemas.openxmlformats.org/officeDocument/2006/relationships/hyperlink" Target="javascript://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javascript://" TargetMode="External"/><Relationship Id="rId22" Type="http://schemas.openxmlformats.org/officeDocument/2006/relationships/hyperlink" Target="javascript://" TargetMode="External"/><Relationship Id="rId27" Type="http://schemas.openxmlformats.org/officeDocument/2006/relationships/hyperlink" Target="javascript://" TargetMode="External"/><Relationship Id="rId30" Type="http://schemas.openxmlformats.org/officeDocument/2006/relationships/hyperlink" Target="javascript://" TargetMode="External"/><Relationship Id="rId35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2016-02-19T10:20:00Z</dcterms:created>
  <dcterms:modified xsi:type="dcterms:W3CDTF">2016-02-19T10:22:00Z</dcterms:modified>
</cp:coreProperties>
</file>